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Times New Roman" w:hAnsi="Times New Roman" w:eastAsia="方正小标宋简体" w:cs="Times New Roman"/>
          <w:sz w:val="36"/>
          <w:szCs w:val="36"/>
          <w:highlight w:val="none"/>
        </w:rPr>
      </w:pPr>
      <w:r>
        <w:rPr>
          <w:rFonts w:hint="eastAsia" w:ascii="Times New Roman" w:hAnsi="Times New Roman" w:eastAsia="方正小标宋简体" w:cs="Times New Roman"/>
          <w:sz w:val="36"/>
          <w:szCs w:val="36"/>
          <w:highlight w:val="none"/>
        </w:rPr>
        <w:t>永靖至大河家（积石山）高速公路工程炳灵寺黄河大桥及莲花枢纽立交B、C、D匝道</w:t>
      </w:r>
      <w:r>
        <w:rPr>
          <w:rFonts w:ascii="Times New Roman" w:hAnsi="Times New Roman" w:eastAsia="方正小标宋简体" w:cs="Times New Roman"/>
          <w:sz w:val="36"/>
          <w:szCs w:val="36"/>
          <w:highlight w:val="none"/>
        </w:rPr>
        <w:t>建设方案审批准</w:t>
      </w:r>
      <w:r>
        <w:rPr>
          <w:rFonts w:ascii="Times New Roman" w:hAnsi="Times New Roman" w:eastAsia="方正小标宋简体" w:cs="Times New Roman"/>
          <w:color w:val="000000"/>
          <w:sz w:val="36"/>
          <w:szCs w:val="36"/>
          <w:highlight w:val="none"/>
        </w:rPr>
        <w:t>予</w:t>
      </w:r>
      <w:r>
        <w:rPr>
          <w:rFonts w:ascii="Times New Roman" w:hAnsi="Times New Roman" w:eastAsia="方正小标宋简体" w:cs="Times New Roman"/>
          <w:sz w:val="36"/>
          <w:szCs w:val="36"/>
          <w:highlight w:val="none"/>
        </w:rPr>
        <w:t>行政许可决定书</w:t>
      </w:r>
    </w:p>
    <w:p>
      <w:pPr>
        <w:widowControl/>
        <w:jc w:val="left"/>
        <w:rPr>
          <w:rFonts w:ascii="Times New Roman" w:hAnsi="Times New Roman" w:eastAsia="仿宋_GB2312" w:cs="Times New Roman"/>
          <w:color w:val="000000"/>
          <w:kern w:val="0"/>
          <w:sz w:val="32"/>
          <w:szCs w:val="32"/>
          <w:highlight w:val="none"/>
        </w:rPr>
      </w:pPr>
      <w:r>
        <w:rPr>
          <w:rFonts w:hint="eastAsia" w:ascii="Times New Roman" w:hAnsi="Times New Roman" w:eastAsia="仿宋_GB2312" w:cs="Times New Roman"/>
          <w:color w:val="000000"/>
          <w:kern w:val="0"/>
          <w:sz w:val="32"/>
          <w:szCs w:val="32"/>
          <w:highlight w:val="none"/>
        </w:rPr>
        <w:t>甘肃公航旅永积高速公路项目管理有限公司</w:t>
      </w:r>
      <w:r>
        <w:rPr>
          <w:rFonts w:ascii="Times New Roman" w:hAnsi="Times New Roman" w:eastAsia="仿宋_GB2312" w:cs="Times New Roman"/>
          <w:color w:val="000000"/>
          <w:kern w:val="0"/>
          <w:sz w:val="32"/>
          <w:szCs w:val="32"/>
          <w:highlight w:val="none"/>
        </w:rPr>
        <w:t>：</w:t>
      </w:r>
    </w:p>
    <w:p>
      <w:pPr>
        <w:pStyle w:val="7"/>
        <w:widowControl/>
        <w:adjustRightInd w:val="0"/>
        <w:snapToGrid w:val="0"/>
        <w:spacing w:line="560" w:lineRule="exact"/>
        <w:ind w:firstLine="640"/>
        <w:rPr>
          <w:rFonts w:hint="default" w:ascii="Times New Roman" w:hAnsi="Times New Roman"/>
          <w:sz w:val="32"/>
          <w:szCs w:val="32"/>
          <w:highlight w:val="none"/>
        </w:rPr>
      </w:pPr>
      <w:r>
        <w:rPr>
          <w:rFonts w:hint="default" w:ascii="Times New Roman" w:hAnsi="Times New Roman" w:eastAsia="仿宋_GB2312"/>
          <w:color w:val="000000"/>
          <w:sz w:val="32"/>
          <w:szCs w:val="32"/>
          <w:highlight w:val="none"/>
        </w:rPr>
        <w:t>黄委于2023年</w:t>
      </w:r>
      <w:r>
        <w:rPr>
          <w:rFonts w:ascii="Times New Roman" w:hAnsi="Times New Roman" w:eastAsia="仿宋_GB2312"/>
          <w:color w:val="000000"/>
          <w:sz w:val="32"/>
          <w:szCs w:val="32"/>
          <w:highlight w:val="none"/>
        </w:rPr>
        <w:t>11</w:t>
      </w:r>
      <w:r>
        <w:rPr>
          <w:rFonts w:hint="default" w:ascii="Times New Roman" w:hAnsi="Times New Roman" w:eastAsia="仿宋_GB2312"/>
          <w:color w:val="000000"/>
          <w:sz w:val="32"/>
          <w:szCs w:val="32"/>
          <w:highlight w:val="none"/>
        </w:rPr>
        <w:t>月</w:t>
      </w:r>
      <w:r>
        <w:rPr>
          <w:rFonts w:ascii="Times New Roman" w:hAnsi="Times New Roman" w:eastAsia="仿宋_GB2312"/>
          <w:color w:val="000000"/>
          <w:sz w:val="32"/>
          <w:szCs w:val="32"/>
          <w:highlight w:val="none"/>
        </w:rPr>
        <w:t>13</w:t>
      </w:r>
      <w:r>
        <w:rPr>
          <w:rFonts w:hint="default" w:ascii="Times New Roman" w:hAnsi="Times New Roman" w:eastAsia="仿宋_GB2312"/>
          <w:color w:val="000000"/>
          <w:sz w:val="32"/>
          <w:szCs w:val="32"/>
          <w:highlight w:val="none"/>
        </w:rPr>
        <w:t>日受理你单位提出的</w:t>
      </w:r>
      <w:r>
        <w:rPr>
          <w:rFonts w:ascii="Times New Roman" w:hAnsi="Times New Roman" w:eastAsia="仿宋_GB2312"/>
          <w:kern w:val="2"/>
          <w:sz w:val="32"/>
          <w:szCs w:val="32"/>
          <w:highlight w:val="none"/>
        </w:rPr>
        <w:t>永靖至大河家（积石山）高速公路工程炳灵寺黄河大桥及莲花枢纽立交B、C</w:t>
      </w:r>
      <w:r>
        <w:rPr>
          <w:rFonts w:hint="eastAsia" w:ascii="Times New Roman" w:hAnsi="Times New Roman" w:eastAsia="仿宋_GB2312"/>
          <w:kern w:val="2"/>
          <w:sz w:val="32"/>
          <w:szCs w:val="32"/>
          <w:highlight w:val="none"/>
          <w:lang w:eastAsia="zh-CN"/>
        </w:rPr>
        <w:t>、</w:t>
      </w:r>
      <w:r>
        <w:rPr>
          <w:rFonts w:hint="eastAsia" w:ascii="Times New Roman" w:hAnsi="Times New Roman" w:eastAsia="仿宋_GB2312"/>
          <w:kern w:val="2"/>
          <w:sz w:val="32"/>
          <w:szCs w:val="32"/>
          <w:highlight w:val="none"/>
          <w:lang w:val="en-US" w:eastAsia="zh-CN"/>
        </w:rPr>
        <w:t>D</w:t>
      </w:r>
      <w:r>
        <w:rPr>
          <w:rFonts w:ascii="Times New Roman" w:hAnsi="Times New Roman" w:eastAsia="仿宋_GB2312"/>
          <w:kern w:val="2"/>
          <w:sz w:val="32"/>
          <w:szCs w:val="32"/>
          <w:highlight w:val="none"/>
        </w:rPr>
        <w:t>匝道</w:t>
      </w:r>
      <w:r>
        <w:rPr>
          <w:rFonts w:hint="default" w:ascii="Times New Roman" w:hAnsi="Times New Roman" w:eastAsia="仿宋_GB2312"/>
          <w:color w:val="000000"/>
          <w:sz w:val="32"/>
          <w:szCs w:val="32"/>
          <w:highlight w:val="none"/>
        </w:rPr>
        <w:t>建设方案审批申请。</w:t>
      </w:r>
    </w:p>
    <w:p>
      <w:pPr>
        <w:adjustRightInd w:val="0"/>
        <w:snapToGrid w:val="0"/>
        <w:spacing w:line="56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根据《中华人民共和国水法》《中华人民共和国防洪法》《中华人民共和国黄河保护法》《中华人民共和国河道管理条例》及有关规定，</w:t>
      </w:r>
      <w:r>
        <w:rPr>
          <w:rFonts w:hint="eastAsia" w:ascii="Times New Roman" w:hAnsi="Times New Roman" w:eastAsia="仿宋_GB2312" w:cs="Times New Roman"/>
          <w:sz w:val="32"/>
          <w:szCs w:val="32"/>
          <w:highlight w:val="none"/>
        </w:rPr>
        <w:t>黄河水利科学研究院</w:t>
      </w:r>
      <w:r>
        <w:rPr>
          <w:rFonts w:ascii="Times New Roman" w:hAnsi="Times New Roman" w:eastAsia="仿宋_GB2312" w:cs="Times New Roman"/>
          <w:sz w:val="32"/>
          <w:szCs w:val="32"/>
          <w:highlight w:val="none"/>
        </w:rPr>
        <w:t>对</w:t>
      </w:r>
      <w:r>
        <w:rPr>
          <w:rFonts w:hint="eastAsia" w:ascii="Times New Roman" w:hAnsi="Times New Roman" w:eastAsia="仿宋_GB2312" w:cs="Times New Roman"/>
          <w:sz w:val="32"/>
          <w:szCs w:val="32"/>
          <w:highlight w:val="none"/>
        </w:rPr>
        <w:t>永靖至大河家（积石山）高速公路工程炳灵寺黄河大桥及莲花枢纽立交B、C、D匝道建设项目</w:t>
      </w:r>
      <w:r>
        <w:rPr>
          <w:rFonts w:ascii="Times New Roman" w:hAnsi="Times New Roman" w:eastAsia="仿宋_GB2312" w:cs="Times New Roman"/>
          <w:sz w:val="32"/>
          <w:szCs w:val="32"/>
          <w:highlight w:val="none"/>
        </w:rPr>
        <w:t>防洪评价报告进行了技术审查，形成了审查意见(见附件)。经研究，同意技术审查意见。</w:t>
      </w:r>
    </w:p>
    <w:p>
      <w:pPr>
        <w:adjustRightInd w:val="0"/>
        <w:snapToGrid w:val="0"/>
        <w:spacing w:line="56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永靖至大河家（积石山）高速公路工程炳灵寺黄河大桥及莲花枢纽立交B、C、</w:t>
      </w:r>
      <w:r>
        <w:rPr>
          <w:rFonts w:ascii="Times New Roman" w:hAnsi="Times New Roman" w:eastAsia="仿宋_GB2312" w:cs="Times New Roman"/>
          <w:sz w:val="32"/>
          <w:szCs w:val="32"/>
          <w:highlight w:val="none"/>
        </w:rPr>
        <w:t>D</w:t>
      </w:r>
      <w:r>
        <w:rPr>
          <w:rFonts w:hint="eastAsia" w:ascii="Times New Roman" w:hAnsi="Times New Roman" w:eastAsia="仿宋_GB2312" w:cs="Times New Roman"/>
          <w:sz w:val="32"/>
          <w:szCs w:val="32"/>
          <w:highlight w:val="none"/>
        </w:rPr>
        <w:t>匝道</w:t>
      </w:r>
      <w:r>
        <w:rPr>
          <w:rFonts w:ascii="Times New Roman" w:hAnsi="Times New Roman" w:eastAsia="仿宋_GB2312" w:cs="Times New Roman"/>
          <w:sz w:val="32"/>
          <w:szCs w:val="32"/>
          <w:highlight w:val="none"/>
        </w:rPr>
        <w:t>建设方案审批申请符合法定条件，同意项目建设。根据《中华人民共和国行政许可法》第三十八条第一款、《水行政许可实施办法》第三十二条第一项等有关规定，决定准予行政许可。</w:t>
      </w:r>
    </w:p>
    <w:p>
      <w:pPr>
        <w:adjustRightInd w:val="0"/>
        <w:snapToGrid w:val="0"/>
        <w:spacing w:line="56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建设项目开工前，你单位应当将施工安排送</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黄河上中游管理局</w:t>
      </w:r>
      <w:r>
        <w:rPr>
          <w:rFonts w:ascii="Times New Roman" w:hAnsi="Times New Roman" w:eastAsia="仿宋_GB2312" w:cs="Times New Roman"/>
          <w:sz w:val="32"/>
          <w:szCs w:val="32"/>
          <w:highlight w:val="none"/>
        </w:rPr>
        <w:t>备案。项目竣工验收三十日前，你单位应将有关竣工资料报送</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黄河上中游管理局</w:t>
      </w:r>
      <w:r>
        <w:rPr>
          <w:rFonts w:ascii="Times New Roman" w:hAnsi="Times New Roman" w:eastAsia="仿宋_GB2312" w:cs="Times New Roman"/>
          <w:sz w:val="32"/>
          <w:szCs w:val="32"/>
          <w:highlight w:val="none"/>
        </w:rPr>
        <w:t>，经检验合格后方可投入使用。</w:t>
      </w:r>
    </w:p>
    <w:p>
      <w:pPr>
        <w:adjustRightInd w:val="0"/>
        <w:snapToGrid w:val="0"/>
        <w:spacing w:line="56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建设项目应在本决定书印发之日起3年内开工建设，超过时限或工程建设方案有较大变更的,须重新办理行政许可手续。</w:t>
      </w:r>
    </w:p>
    <w:p>
      <w:pPr>
        <w:adjustRightInd w:val="0"/>
        <w:snapToGrid w:val="0"/>
        <w:spacing w:line="56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联系人:齐向南，电话:0371-66022058</w:t>
      </w:r>
    </w:p>
    <w:p>
      <w:pPr>
        <w:adjustRightInd w:val="0"/>
        <w:snapToGrid w:val="0"/>
        <w:spacing w:line="560" w:lineRule="exact"/>
        <w:ind w:firstLine="640" w:firstLineChars="200"/>
        <w:rPr>
          <w:rFonts w:ascii="Times New Roman" w:hAnsi="Times New Roman" w:eastAsia="仿宋_GB2312" w:cs="Times New Roman"/>
          <w:sz w:val="32"/>
          <w:szCs w:val="32"/>
          <w:highlight w:val="none"/>
        </w:rPr>
      </w:pPr>
    </w:p>
    <w:p>
      <w:pPr>
        <w:pStyle w:val="11"/>
        <w:ind w:firstLine="640"/>
        <w:rPr>
          <w:rFonts w:eastAsia="仿宋_GB2312"/>
          <w:color w:val="000000"/>
          <w:sz w:val="32"/>
          <w:szCs w:val="32"/>
          <w:highlight w:val="none"/>
        </w:rPr>
        <w:sectPr>
          <w:footerReference r:id="rId3" w:type="default"/>
          <w:pgSz w:w="11906" w:h="16838"/>
          <w:pgMar w:top="1440" w:right="1800" w:bottom="1440" w:left="1800" w:header="851" w:footer="992" w:gutter="0"/>
          <w:pgNumType w:fmt="decimal" w:start="1"/>
          <w:cols w:space="425" w:num="1"/>
          <w:docGrid w:type="lines" w:linePitch="312" w:charSpace="0"/>
        </w:sectPr>
      </w:pPr>
    </w:p>
    <w:p>
      <w:pPr>
        <w:spacing w:line="600" w:lineRule="exact"/>
        <w:rPr>
          <w:rFonts w:ascii="黑体" w:hAnsi="黑体" w:eastAsia="黑体"/>
          <w:bCs/>
          <w:sz w:val="32"/>
          <w:szCs w:val="28"/>
          <w:highlight w:val="none"/>
        </w:rPr>
      </w:pPr>
      <w:r>
        <w:rPr>
          <w:rFonts w:hint="eastAsia" w:ascii="黑体" w:hAnsi="黑体" w:eastAsia="黑体"/>
          <w:bCs/>
          <w:sz w:val="32"/>
          <w:szCs w:val="28"/>
          <w:highlight w:val="none"/>
        </w:rPr>
        <w:t>附件</w:t>
      </w:r>
    </w:p>
    <w:p>
      <w:pPr>
        <w:spacing w:line="600" w:lineRule="exact"/>
        <w:jc w:val="center"/>
        <w:rPr>
          <w:rFonts w:eastAsia="方正小标宋简体"/>
          <w:sz w:val="36"/>
          <w:szCs w:val="28"/>
          <w:highlight w:val="none"/>
        </w:rPr>
      </w:pPr>
      <w:r>
        <w:rPr>
          <w:rFonts w:hint="eastAsia" w:eastAsia="方正小标宋简体"/>
          <w:sz w:val="36"/>
          <w:szCs w:val="28"/>
          <w:highlight w:val="none"/>
        </w:rPr>
        <w:t>永靖至大河家（积石山）高速公路工程炳灵寺黄河大桥及莲花枢纽立交B、C、</w:t>
      </w:r>
      <w:r>
        <w:rPr>
          <w:rFonts w:eastAsia="方正小标宋简体"/>
          <w:sz w:val="36"/>
          <w:szCs w:val="28"/>
          <w:highlight w:val="none"/>
        </w:rPr>
        <w:t>D</w:t>
      </w:r>
      <w:r>
        <w:rPr>
          <w:rFonts w:hint="eastAsia" w:eastAsia="方正小标宋简体"/>
          <w:sz w:val="36"/>
          <w:szCs w:val="28"/>
          <w:highlight w:val="none"/>
        </w:rPr>
        <w:t>匝道建设项目暨防洪评价报告审查意见</w:t>
      </w:r>
    </w:p>
    <w:p>
      <w:pPr>
        <w:pStyle w:val="2"/>
        <w:rPr>
          <w:highlight w:val="none"/>
        </w:rPr>
      </w:pPr>
    </w:p>
    <w:p>
      <w:pPr>
        <w:spacing w:line="540" w:lineRule="exact"/>
        <w:ind w:firstLine="640" w:firstLineChars="200"/>
        <w:rPr>
          <w:rFonts w:hint="eastAsia" w:eastAsia="仿宋_GB2312"/>
          <w:bCs/>
          <w:sz w:val="32"/>
          <w:szCs w:val="32"/>
          <w:highlight w:val="none"/>
        </w:rPr>
      </w:pPr>
      <w:r>
        <w:rPr>
          <w:rFonts w:hint="eastAsia" w:eastAsia="仿宋_GB2312"/>
          <w:bCs/>
          <w:sz w:val="32"/>
          <w:szCs w:val="32"/>
          <w:highlight w:val="none"/>
        </w:rPr>
        <w:t>2022年2月21日黄委以黄许可决〔2022〕12号下达了《永靖至大河家（积石山）高速公路工程刘家峡库区炳灵寺黄河特大桥及莲花枢纽立交CD匝道工程建设方案审批准予行政许可决定书》。因工程设计方案变更，项目重新办理水行政许可手续。</w:t>
      </w:r>
    </w:p>
    <w:p>
      <w:pPr>
        <w:spacing w:line="540" w:lineRule="exact"/>
        <w:ind w:firstLine="640" w:firstLineChars="200"/>
        <w:rPr>
          <w:rFonts w:hint="eastAsia" w:eastAsia="仿宋_GB2312"/>
          <w:bCs/>
          <w:sz w:val="32"/>
          <w:szCs w:val="32"/>
          <w:highlight w:val="none"/>
        </w:rPr>
      </w:pPr>
      <w:r>
        <w:rPr>
          <w:rFonts w:hint="eastAsia" w:eastAsia="仿宋_GB2312"/>
          <w:bCs/>
          <w:sz w:val="32"/>
          <w:szCs w:val="32"/>
          <w:highlight w:val="none"/>
        </w:rPr>
        <w:t>2023年11月15日，受黄委河湖局委托，黄河水利科学研究院在郑州组织召开永靖至大河家（积石山）高速公路炳灵寺黄河大桥及莲花枢纽立交B、C、D匝道建设项目暨防洪评价报告审查会。参加会议的有特邀专家和黄委河湖局、政法局、防御局、黄河上中游管理局、黄河水土保持天水治理监督局、甘肃省水利厅，以及甘肃公航旅永积高速公路项目管理有限公司，甘肃省交通规划勘察设计院股份有限公司，黄河勘测规划设计研究院有限公司等单位的专家和代表。审查组听取了《永靖至大河家（积石山）高速公路炳灵寺黄河大桥及莲花枢纽立交B、C、D匝道防洪评价报告》（以下简称《评价报告》）的汇报，经过认真讨论，形成审查意见如下：</w:t>
      </w:r>
      <w:bookmarkStart w:id="0" w:name="_GoBack"/>
      <w:bookmarkEnd w:id="0"/>
    </w:p>
    <w:p>
      <w:pPr>
        <w:spacing w:line="540" w:lineRule="exact"/>
        <w:ind w:firstLine="640" w:firstLineChars="200"/>
        <w:rPr>
          <w:rFonts w:hint="eastAsia" w:eastAsia="仿宋_GB2312"/>
          <w:bCs/>
          <w:sz w:val="32"/>
          <w:szCs w:val="32"/>
          <w:highlight w:val="none"/>
        </w:rPr>
      </w:pPr>
      <w:r>
        <w:rPr>
          <w:rFonts w:hint="eastAsia" w:eastAsia="仿宋_GB2312"/>
          <w:bCs/>
          <w:sz w:val="32"/>
          <w:szCs w:val="32"/>
          <w:highlight w:val="none"/>
        </w:rPr>
        <w:t>一、炳灵寺黄河大桥及莲花枢纽立交的建设，对于优化和完善区域路网结构布局，促进当地经济社会发展具有重要意义，同意大桥建设。</w:t>
      </w:r>
    </w:p>
    <w:p>
      <w:pPr>
        <w:spacing w:line="540" w:lineRule="exact"/>
        <w:ind w:firstLine="640" w:firstLineChars="200"/>
        <w:rPr>
          <w:rFonts w:hint="eastAsia" w:eastAsia="仿宋_GB2312"/>
          <w:bCs/>
          <w:sz w:val="32"/>
          <w:szCs w:val="32"/>
          <w:highlight w:val="none"/>
        </w:rPr>
      </w:pPr>
      <w:r>
        <w:rPr>
          <w:rFonts w:hint="eastAsia" w:eastAsia="仿宋_GB2312"/>
          <w:bCs/>
          <w:sz w:val="32"/>
          <w:szCs w:val="32"/>
          <w:highlight w:val="none"/>
        </w:rPr>
        <w:t>二、基本同意《评价报告》中的推荐桥位，位于甘肃省临夏州，左岸为永靖县杨塔乡胜利村，右岸为积石山县银川镇尕白家村，下距刘家峡水库大坝31.00公里、小川水文站约32.60公里。</w:t>
      </w:r>
    </w:p>
    <w:p>
      <w:pPr>
        <w:spacing w:line="540" w:lineRule="exact"/>
        <w:ind w:firstLine="640" w:firstLineChars="200"/>
        <w:rPr>
          <w:rFonts w:hint="eastAsia" w:eastAsia="仿宋_GB2312"/>
          <w:bCs/>
          <w:sz w:val="32"/>
          <w:szCs w:val="32"/>
          <w:highlight w:val="none"/>
        </w:rPr>
      </w:pPr>
      <w:r>
        <w:rPr>
          <w:rFonts w:hint="eastAsia" w:eastAsia="仿宋_GB2312"/>
          <w:bCs/>
          <w:sz w:val="32"/>
          <w:szCs w:val="32"/>
          <w:highlight w:val="none"/>
        </w:rPr>
        <w:t>三、同意大桥以全桥跨方式跨越黄河。基本同意大桥自左岸至右岸按3×40米+（150米+2×250米+150米）+4×50米+45米+40米+2×52.5米的布设方案，涉河桥长1310米，主桥桥面宽27.5米，双向4车道。</w:t>
      </w:r>
    </w:p>
    <w:p>
      <w:pPr>
        <w:spacing w:line="540" w:lineRule="exact"/>
        <w:ind w:firstLine="640" w:firstLineChars="200"/>
        <w:rPr>
          <w:rFonts w:hint="eastAsia" w:eastAsia="仿宋_GB2312"/>
          <w:bCs/>
          <w:sz w:val="32"/>
          <w:szCs w:val="32"/>
          <w:highlight w:val="none"/>
        </w:rPr>
      </w:pPr>
      <w:r>
        <w:rPr>
          <w:rFonts w:hint="eastAsia" w:eastAsia="仿宋_GB2312"/>
          <w:bCs/>
          <w:sz w:val="32"/>
          <w:szCs w:val="32"/>
          <w:highlight w:val="none"/>
        </w:rPr>
        <w:t>主桥右岸23号桥墩至25号桥墩上游侧设有30米+2×40米C匝道（涉河孔跨），下游侧临河设有34米+3×40米B匝道（涉河孔跨），主桥下游右岸临河侧设有4×31米D匝道（涉河孔跨）。</w:t>
      </w:r>
    </w:p>
    <w:p>
      <w:pPr>
        <w:spacing w:line="540" w:lineRule="exact"/>
        <w:ind w:firstLine="640" w:firstLineChars="200"/>
        <w:rPr>
          <w:rFonts w:hint="eastAsia" w:eastAsia="仿宋_GB2312"/>
          <w:bCs/>
          <w:sz w:val="32"/>
          <w:szCs w:val="32"/>
          <w:highlight w:val="none"/>
        </w:rPr>
      </w:pPr>
      <w:r>
        <w:rPr>
          <w:rFonts w:hint="eastAsia" w:eastAsia="仿宋_GB2312"/>
          <w:bCs/>
          <w:sz w:val="32"/>
          <w:szCs w:val="32"/>
          <w:highlight w:val="none"/>
        </w:rPr>
        <w:t>炳灵寺黄河特大桥左岸10号桥墩中心点坐标为（X=3960134.282，Y=598351.173）（2000国家大地坐标系，下同），右岸主桥、匝道桥分离点23号桥墩中心点坐标为（X=3958938.583，Y=598294.417），主桥右岸25号桥墩中心点坐标为（X=3958846.467，Y=598244.083）；C匝道河道内分出点0号桥墩中心点坐标为（X=3958947.114，Y=598275.188），河道右岸3号桥墩中心点坐标为（X=3958864.535，Y=5982204.493）；B匝道河道内分出点0号桥墩中心点坐标为（X=3958930.102，Y=5983313.391），右岸4号桥墩中心点坐标为（X=3958778.712，Y=598290.779）；D匝道临河上游侧3号桥墩中心点坐标为（X=3958804.133，Y=598312.063），下游侧5号桥墩中心点坐标为（X=3958775.145，Y=598364.636）。</w:t>
      </w:r>
    </w:p>
    <w:p>
      <w:pPr>
        <w:spacing w:line="540" w:lineRule="exact"/>
        <w:ind w:firstLine="640" w:firstLineChars="200"/>
        <w:rPr>
          <w:rFonts w:hint="eastAsia" w:eastAsia="仿宋_GB2312"/>
          <w:bCs/>
          <w:sz w:val="32"/>
          <w:szCs w:val="32"/>
          <w:highlight w:val="none"/>
        </w:rPr>
      </w:pPr>
      <w:r>
        <w:rPr>
          <w:rFonts w:hint="eastAsia" w:eastAsia="仿宋_GB2312"/>
          <w:bCs/>
          <w:sz w:val="32"/>
          <w:szCs w:val="32"/>
          <w:highlight w:val="none"/>
        </w:rPr>
        <w:t>四、大桥按1000年一遇洪水设计，按刘家峡水库可能最大洪水校核；桥位处10年一遇、1000年一遇、可能最大洪水校核洪峰流量分别为4740立方米每秒、8860立方米每秒、13300立方米每秒，相应水位分别为1727.44米（1985国家高程基准，下同）、1734.34米、1737.34米。</w:t>
      </w:r>
    </w:p>
    <w:p>
      <w:pPr>
        <w:spacing w:line="540" w:lineRule="exact"/>
        <w:ind w:firstLine="640" w:firstLineChars="200"/>
        <w:rPr>
          <w:rFonts w:hint="eastAsia" w:eastAsia="仿宋_GB2312"/>
          <w:bCs/>
          <w:sz w:val="32"/>
          <w:szCs w:val="32"/>
          <w:highlight w:val="none"/>
        </w:rPr>
      </w:pPr>
      <w:r>
        <w:rPr>
          <w:rFonts w:hint="eastAsia" w:eastAsia="仿宋_GB2312"/>
          <w:bCs/>
          <w:sz w:val="32"/>
          <w:szCs w:val="32"/>
          <w:highlight w:val="none"/>
        </w:rPr>
        <w:t>五、河道内梁底最低高程为1757.92米，满足河道行洪及通航要求。</w:t>
      </w:r>
    </w:p>
    <w:p>
      <w:pPr>
        <w:spacing w:line="540" w:lineRule="exact"/>
        <w:ind w:firstLine="640" w:firstLineChars="200"/>
        <w:rPr>
          <w:rFonts w:hint="eastAsia" w:eastAsia="仿宋_GB2312"/>
          <w:bCs/>
          <w:sz w:val="32"/>
          <w:szCs w:val="32"/>
          <w:highlight w:val="none"/>
        </w:rPr>
      </w:pPr>
      <w:r>
        <w:rPr>
          <w:rFonts w:hint="eastAsia" w:eastAsia="仿宋_GB2312"/>
          <w:bCs/>
          <w:sz w:val="32"/>
          <w:szCs w:val="32"/>
          <w:highlight w:val="none"/>
        </w:rPr>
        <w:t>六、基本同意《评价报告》中壅水及冲刷计算成果。桥位处1000年一遇最大壅水高度为0.15米，壅水长度为820.00米；最大冲刷水深为32.94米；最低冲刷线高程为1699.25米。桥位处PMF校核洪水最大壅水高度为0.20米，壅水长度为1026.00米；最大冲刷水深为37.57米；最低冲刷线高程为1698.36米。河道内桥墩桩基嵌入基岩。</w:t>
      </w:r>
    </w:p>
    <w:p>
      <w:pPr>
        <w:spacing w:line="540" w:lineRule="exact"/>
        <w:ind w:firstLine="640" w:firstLineChars="200"/>
        <w:rPr>
          <w:rFonts w:hint="eastAsia" w:eastAsia="仿宋_GB2312"/>
          <w:bCs/>
          <w:sz w:val="32"/>
          <w:szCs w:val="32"/>
          <w:highlight w:val="none"/>
        </w:rPr>
      </w:pPr>
      <w:r>
        <w:rPr>
          <w:rFonts w:hint="eastAsia" w:eastAsia="仿宋_GB2312"/>
          <w:bCs/>
          <w:sz w:val="32"/>
          <w:szCs w:val="32"/>
          <w:highlight w:val="none"/>
        </w:rPr>
        <w:t>河道内桥墩承台顶面高程应在现状地面线以下。</w:t>
      </w:r>
    </w:p>
    <w:p>
      <w:pPr>
        <w:spacing w:line="540" w:lineRule="exact"/>
        <w:ind w:firstLine="640" w:firstLineChars="200"/>
        <w:rPr>
          <w:rFonts w:hint="eastAsia" w:eastAsia="仿宋_GB2312"/>
          <w:bCs/>
          <w:sz w:val="32"/>
          <w:szCs w:val="32"/>
          <w:highlight w:val="none"/>
        </w:rPr>
      </w:pPr>
      <w:r>
        <w:rPr>
          <w:rFonts w:hint="eastAsia" w:eastAsia="仿宋_GB2312"/>
          <w:bCs/>
          <w:sz w:val="32"/>
          <w:szCs w:val="32"/>
          <w:highlight w:val="none"/>
        </w:rPr>
        <w:t>七、基本同意《评价报告》提出的防洪综合评价结论及消除和减轻影响的措施。</w:t>
      </w:r>
    </w:p>
    <w:p>
      <w:pPr>
        <w:spacing w:line="540" w:lineRule="exact"/>
        <w:ind w:firstLine="640" w:firstLineChars="200"/>
        <w:rPr>
          <w:rFonts w:hint="eastAsia" w:eastAsia="仿宋_GB2312"/>
          <w:bCs/>
          <w:sz w:val="32"/>
          <w:szCs w:val="32"/>
          <w:highlight w:val="none"/>
        </w:rPr>
      </w:pPr>
      <w:r>
        <w:rPr>
          <w:rFonts w:hint="eastAsia" w:eastAsia="仿宋_GB2312"/>
          <w:bCs/>
          <w:sz w:val="32"/>
          <w:szCs w:val="32"/>
          <w:highlight w:val="none"/>
        </w:rPr>
        <w:t>在大桥两端设置视频监视设施，并接入黄河上中游管理局及项目所在地水行政主管部门监控系统。</w:t>
      </w:r>
    </w:p>
    <w:p>
      <w:pPr>
        <w:spacing w:line="540" w:lineRule="exact"/>
        <w:ind w:firstLine="640" w:firstLineChars="200"/>
        <w:rPr>
          <w:rFonts w:hint="eastAsia" w:eastAsia="仿宋_GB2312"/>
          <w:bCs/>
          <w:sz w:val="32"/>
          <w:szCs w:val="32"/>
          <w:highlight w:val="none"/>
        </w:rPr>
      </w:pPr>
      <w:r>
        <w:rPr>
          <w:rFonts w:hint="eastAsia" w:eastAsia="仿宋_GB2312"/>
          <w:bCs/>
          <w:sz w:val="32"/>
          <w:szCs w:val="32"/>
          <w:highlight w:val="none"/>
        </w:rPr>
        <w:t>施工及运行期5年内需进行桥位河段河势观测，观测结果经甘肃省水利厅审核后报黄委。</w:t>
      </w:r>
    </w:p>
    <w:p>
      <w:pPr>
        <w:spacing w:line="540" w:lineRule="exact"/>
        <w:ind w:firstLine="640" w:firstLineChars="200"/>
        <w:rPr>
          <w:rFonts w:hint="eastAsia" w:eastAsia="仿宋_GB2312"/>
          <w:bCs/>
          <w:sz w:val="32"/>
          <w:szCs w:val="32"/>
          <w:highlight w:val="none"/>
        </w:rPr>
      </w:pPr>
      <w:r>
        <w:rPr>
          <w:rFonts w:hint="eastAsia" w:eastAsia="仿宋_GB2312"/>
          <w:bCs/>
          <w:sz w:val="32"/>
          <w:szCs w:val="32"/>
          <w:highlight w:val="none"/>
        </w:rPr>
        <w:t>八、大桥建设涉及的第三人合法水事权益，由建设单位负责与有关方面协商解决。</w:t>
      </w:r>
    </w:p>
    <w:p>
      <w:pPr>
        <w:spacing w:line="540" w:lineRule="exact"/>
        <w:ind w:firstLine="640" w:firstLineChars="200"/>
        <w:rPr>
          <w:rFonts w:hint="eastAsia" w:eastAsia="仿宋_GB2312"/>
          <w:bCs/>
          <w:sz w:val="32"/>
          <w:szCs w:val="32"/>
          <w:highlight w:val="none"/>
        </w:rPr>
      </w:pPr>
      <w:r>
        <w:rPr>
          <w:rFonts w:hint="eastAsia" w:eastAsia="仿宋_GB2312"/>
          <w:bCs/>
          <w:sz w:val="32"/>
          <w:szCs w:val="32"/>
          <w:highlight w:val="none"/>
        </w:rPr>
        <w:t>九、大桥建设开工前，建设单位应当将施工安排送黄河上中游管理局备案。施工安排应包括施工占用河道管理范围内土地的情况和施工期防汛措施。</w:t>
      </w:r>
    </w:p>
    <w:p>
      <w:pPr>
        <w:spacing w:line="540" w:lineRule="exact"/>
        <w:ind w:firstLine="640" w:firstLineChars="200"/>
        <w:rPr>
          <w:rFonts w:hint="eastAsia" w:eastAsia="仿宋_GB2312"/>
          <w:bCs/>
          <w:sz w:val="32"/>
          <w:szCs w:val="32"/>
          <w:highlight w:val="none"/>
        </w:rPr>
      </w:pPr>
      <w:r>
        <w:rPr>
          <w:rFonts w:hint="eastAsia" w:eastAsia="仿宋_GB2312"/>
          <w:bCs/>
          <w:sz w:val="32"/>
          <w:szCs w:val="32"/>
          <w:highlight w:val="none"/>
        </w:rPr>
        <w:t>十、建设期间，应加强水环境保护，严禁向河道内弃渣、排污；施工结束，各种临建设施及废弃物必须清除出河道。</w:t>
      </w:r>
    </w:p>
    <w:p>
      <w:pPr>
        <w:spacing w:line="540" w:lineRule="exact"/>
        <w:ind w:firstLine="640" w:firstLineChars="200"/>
        <w:rPr>
          <w:rFonts w:hint="eastAsia" w:eastAsia="仿宋_GB2312"/>
          <w:bCs/>
          <w:sz w:val="32"/>
          <w:szCs w:val="32"/>
          <w:highlight w:val="none"/>
        </w:rPr>
      </w:pPr>
      <w:r>
        <w:rPr>
          <w:rFonts w:hint="eastAsia" w:eastAsia="仿宋_GB2312"/>
          <w:bCs/>
          <w:sz w:val="32"/>
          <w:szCs w:val="32"/>
          <w:highlight w:val="none"/>
        </w:rPr>
        <w:t>运行期间，禁止桥面雨（污）水及有害物质直接排入河道。</w:t>
      </w:r>
    </w:p>
    <w:p>
      <w:pPr>
        <w:spacing w:line="540" w:lineRule="exact"/>
        <w:ind w:firstLine="640" w:firstLineChars="200"/>
        <w:rPr>
          <w:b/>
          <w:bCs/>
          <w:color w:val="000000" w:themeColor="text1"/>
          <w:sz w:val="32"/>
          <w:szCs w:val="32"/>
          <w:highlight w:val="none"/>
          <w14:textFill>
            <w14:solidFill>
              <w14:schemeClr w14:val="tx1"/>
            </w14:solidFill>
          </w14:textFill>
        </w:rPr>
      </w:pPr>
      <w:r>
        <w:rPr>
          <w:rFonts w:hint="eastAsia" w:eastAsia="仿宋_GB2312"/>
          <w:bCs/>
          <w:sz w:val="32"/>
          <w:szCs w:val="32"/>
          <w:highlight w:val="none"/>
        </w:rPr>
        <w:t>十一、建设及运行管理单位应接受黄河上中游管理局及其所属的黄河水土保持天水治理监督局和项目所在地方各级水行政主管部门的事中事后监督管理。</w:t>
      </w:r>
    </w:p>
    <w:p>
      <w:pPr>
        <w:pStyle w:val="11"/>
        <w:ind w:firstLine="640"/>
        <w:rPr>
          <w:rFonts w:eastAsia="仿宋_GB2312"/>
          <w:color w:val="000000"/>
          <w:sz w:val="32"/>
          <w:szCs w:val="32"/>
          <w:highlight w:val="none"/>
        </w:rPr>
      </w:pPr>
    </w:p>
    <w:sectPr>
      <w:footerReference r:id="rId4" w:type="default"/>
      <w:footerReference r:id="rId5" w:type="even"/>
      <w:pgSz w:w="11906" w:h="16838"/>
      <w:pgMar w:top="1440" w:right="1701" w:bottom="1440" w:left="1701"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rPr>
                              <w:rStyle w:val="10"/>
                            </w:rPr>
                          </w:pPr>
                          <w:r>
                            <w:fldChar w:fldCharType="begin"/>
                          </w:r>
                          <w:r>
                            <w:rPr>
                              <w:rStyle w:val="10"/>
                            </w:rPr>
                            <w:instrText xml:space="preserve">PAGE  </w:instrText>
                          </w:r>
                          <w:r>
                            <w:fldChar w:fldCharType="separate"/>
                          </w:r>
                          <w:r>
                            <w:rPr>
                              <w:rStyle w:val="10"/>
                            </w:rP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DzzfY5wQIAANYFAAAOAAAAAAAA&#10;AAEAIAAAAB8BAABkcnMvZTJvRG9jLnhtbFBLBQYAAAAABgAGAFkBAABSBgAAAAA=&#10;">
              <v:fill on="f" focussize="0,0"/>
              <v:stroke on="f" weight="0.5pt"/>
              <v:imagedata o:title=""/>
              <o:lock v:ext="edit" aspectratio="f"/>
              <v:textbox inset="0mm,0mm,0mm,0mm" style="mso-fit-shape-to-text:t;">
                <w:txbxContent>
                  <w:p>
                    <w:pPr>
                      <w:pStyle w:val="5"/>
                      <w:rPr>
                        <w:rStyle w:val="10"/>
                      </w:rPr>
                    </w:pPr>
                    <w:r>
                      <w:fldChar w:fldCharType="begin"/>
                    </w:r>
                    <w:r>
                      <w:rPr>
                        <w:rStyle w:val="10"/>
                      </w:rPr>
                      <w:instrText xml:space="preserve">PAGE  </w:instrText>
                    </w:r>
                    <w:r>
                      <w:fldChar w:fldCharType="separate"/>
                    </w:r>
                    <w:r>
                      <w:rPr>
                        <w:rStyle w:val="10"/>
                      </w:rPr>
                      <w:t>2</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fldChar w:fldCharType="begin"/>
    </w:r>
    <w:r>
      <w:rPr>
        <w:rStyle w:val="10"/>
      </w:rPr>
      <w:instrText xml:space="preserve">PAGE  </w:instrText>
    </w:r>
    <w: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BB2"/>
    <w:rsid w:val="00080E38"/>
    <w:rsid w:val="000C33CB"/>
    <w:rsid w:val="002B63F9"/>
    <w:rsid w:val="00502DE7"/>
    <w:rsid w:val="005200AB"/>
    <w:rsid w:val="00634BB2"/>
    <w:rsid w:val="00677138"/>
    <w:rsid w:val="006A71ED"/>
    <w:rsid w:val="00704452"/>
    <w:rsid w:val="007837A4"/>
    <w:rsid w:val="00885C8E"/>
    <w:rsid w:val="008C4C80"/>
    <w:rsid w:val="00A67058"/>
    <w:rsid w:val="00AD26A4"/>
    <w:rsid w:val="00D927E6"/>
    <w:rsid w:val="02046B06"/>
    <w:rsid w:val="02B01F3E"/>
    <w:rsid w:val="065C7479"/>
    <w:rsid w:val="06A039FD"/>
    <w:rsid w:val="07794BC4"/>
    <w:rsid w:val="086B016D"/>
    <w:rsid w:val="0DD30901"/>
    <w:rsid w:val="233E7938"/>
    <w:rsid w:val="238D1314"/>
    <w:rsid w:val="264D53BD"/>
    <w:rsid w:val="26A63885"/>
    <w:rsid w:val="2AEF352F"/>
    <w:rsid w:val="2D001702"/>
    <w:rsid w:val="2D543F5E"/>
    <w:rsid w:val="2D545739"/>
    <w:rsid w:val="2E4D05A6"/>
    <w:rsid w:val="2E603A33"/>
    <w:rsid w:val="2FE23E68"/>
    <w:rsid w:val="30603B22"/>
    <w:rsid w:val="3309092B"/>
    <w:rsid w:val="33F520AD"/>
    <w:rsid w:val="36A875CF"/>
    <w:rsid w:val="37BE5282"/>
    <w:rsid w:val="385B7B45"/>
    <w:rsid w:val="3AAB3834"/>
    <w:rsid w:val="3ABA686C"/>
    <w:rsid w:val="3F6C01CE"/>
    <w:rsid w:val="410C629C"/>
    <w:rsid w:val="42585CC0"/>
    <w:rsid w:val="481B3F64"/>
    <w:rsid w:val="4A644A35"/>
    <w:rsid w:val="4E173491"/>
    <w:rsid w:val="60AE0858"/>
    <w:rsid w:val="68922B75"/>
    <w:rsid w:val="6C9E27BD"/>
    <w:rsid w:val="754D57C2"/>
    <w:rsid w:val="7816093B"/>
    <w:rsid w:val="78EF4F7C"/>
    <w:rsid w:val="79AF64C0"/>
    <w:rsid w:val="7C9C04A4"/>
    <w:rsid w:val="F77D35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toc 4"/>
    <w:basedOn w:val="1"/>
    <w:next w:val="1"/>
    <w:qFormat/>
    <w:uiPriority w:val="0"/>
    <w:pPr>
      <w:ind w:left="630"/>
      <w:jc w:val="left"/>
    </w:pPr>
    <w:rPr>
      <w:rFonts w:cs="Calibri"/>
      <w:sz w:val="18"/>
      <w:szCs w:val="18"/>
    </w:rPr>
  </w:style>
  <w:style w:type="paragraph" w:styleId="3">
    <w:name w:val="Body Text"/>
    <w:basedOn w:val="1"/>
    <w:next w:val="4"/>
    <w:qFormat/>
    <w:uiPriority w:val="0"/>
    <w:rPr>
      <w:rFonts w:ascii="Times New Roman" w:hAnsi="Times New Roman" w:eastAsia="黑体" w:cs="Times New Roman"/>
      <w:sz w:val="36"/>
      <w:szCs w:val="20"/>
    </w:rPr>
  </w:style>
  <w:style w:type="paragraph" w:styleId="4">
    <w:name w:val="Plain Text"/>
    <w:basedOn w:val="1"/>
    <w:qFormat/>
    <w:uiPriority w:val="0"/>
    <w:rPr>
      <w:rFonts w:ascii="宋体" w:hAnsi="Courier New" w:eastAsia="宋体" w:cs="Courier New"/>
      <w:szCs w:val="21"/>
    </w:rPr>
  </w:style>
  <w:style w:type="paragraph" w:styleId="5">
    <w:name w:val="footer"/>
    <w:basedOn w:val="1"/>
    <w:link w:val="13"/>
    <w:qFormat/>
    <w:uiPriority w:val="0"/>
    <w:pPr>
      <w:tabs>
        <w:tab w:val="center" w:pos="4153"/>
        <w:tab w:val="right" w:pos="8306"/>
      </w:tabs>
      <w:snapToGrid w:val="0"/>
      <w:jc w:val="left"/>
    </w:pPr>
    <w:rPr>
      <w:sz w:val="18"/>
      <w:szCs w:val="18"/>
    </w:rPr>
  </w:style>
  <w:style w:type="paragraph" w:styleId="6">
    <w:name w:val="header"/>
    <w:basedOn w:val="1"/>
    <w:link w:val="12"/>
    <w:qFormat/>
    <w:uiPriority w:val="0"/>
    <w:pPr>
      <w:tabs>
        <w:tab w:val="center" w:pos="4153"/>
        <w:tab w:val="right" w:pos="8306"/>
      </w:tabs>
      <w:snapToGrid w:val="0"/>
      <w:jc w:val="center"/>
    </w:pPr>
    <w:rPr>
      <w:sz w:val="18"/>
      <w:szCs w:val="18"/>
    </w:rPr>
  </w:style>
  <w:style w:type="paragraph" w:styleId="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character" w:styleId="10">
    <w:name w:val="page number"/>
    <w:qFormat/>
    <w:uiPriority w:val="0"/>
  </w:style>
  <w:style w:type="paragraph" w:customStyle="1" w:styleId="11">
    <w:name w:val="正文格式"/>
    <w:qFormat/>
    <w:uiPriority w:val="0"/>
    <w:pPr>
      <w:spacing w:line="440" w:lineRule="exact"/>
      <w:ind w:firstLine="200" w:firstLineChars="200"/>
    </w:pPr>
    <w:rPr>
      <w:rFonts w:ascii="Times New Roman" w:hAnsi="Times New Roman" w:eastAsia="宋体" w:cs="Times New Roman"/>
      <w:kern w:val="2"/>
      <w:sz w:val="24"/>
      <w:szCs w:val="24"/>
      <w:lang w:val="en-US" w:eastAsia="zh-CN" w:bidi="ar-SA"/>
    </w:rPr>
  </w:style>
  <w:style w:type="character" w:customStyle="1" w:styleId="12">
    <w:name w:val="页眉 字符"/>
    <w:basedOn w:val="9"/>
    <w:link w:val="6"/>
    <w:qFormat/>
    <w:uiPriority w:val="0"/>
    <w:rPr>
      <w:rFonts w:asciiTheme="minorHAnsi" w:hAnsiTheme="minorHAnsi" w:eastAsiaTheme="minorEastAsia" w:cstheme="minorBidi"/>
      <w:kern w:val="2"/>
      <w:sz w:val="18"/>
      <w:szCs w:val="18"/>
    </w:rPr>
  </w:style>
  <w:style w:type="character" w:customStyle="1" w:styleId="13">
    <w:name w:val="页脚 字符"/>
    <w:basedOn w:val="9"/>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101</Words>
  <Characters>578</Characters>
  <Lines>4</Lines>
  <Paragraphs>1</Paragraphs>
  <TotalTime>15</TotalTime>
  <ScaleCrop>false</ScaleCrop>
  <LinksUpToDate>false</LinksUpToDate>
  <CharactersWithSpaces>678</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2023-08-28T17:24:00Z</dcterms:created>
  <dc:creator>wangxianghui</dc:creator>
  <cp:lastModifiedBy>wangxianghui</cp:lastModifiedBy>
  <dcterms:modified xsi:type="dcterms:W3CDTF">2024-03-29T02:20:59Z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